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886" w:rsidRDefault="00F016E0"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Комплекс планировочных природоохранных мер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 Проектным решением генерального плана предусматривается необходимость реализации градостроительных приемов и мероприятий, направленных на «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экологизацию</w:t>
      </w:r>
      <w:proofErr w:type="spell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» планировочной, транспортной и инженерной инфраструктуры СП для улучшения условий проживания и отдыха населения, восполнение утраченных элементов природной среды и охрану качества и естественных свойств ее компонентов.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Для объектов, являющихся источниками воздействия на среду обитания, разрабатывается проект обоснования размера санитарно-защитной зоны, согласно СанПиН 2.2.1/2.1.1.1200-03.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Ориентировочный размер санитарно-защитной зоны по классификации должен быть обоснован проектом санитарно-защитной зоны с расчетами ожидаемого загрязнения атмосферного воздуха (с учетом фона) и уровней физического воздействия на атмосферный воздух и подтвержден результатами натурных исследований и измерений.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Санитарно-защитная зона промышленных производств и объектов разрабатывается последовательно: расчетная (предварительная) санитарно-защитная зона, выполненная на основании проекта с расчетами рассеивания загрязнения атмосферного воздуха и физического воздействия на атмосферный воздух (шум, вибрация, ЭМП и др.); установленная (окончательная) – на основании результатов натурных наблюдений и измерений для подтверждения расчетных параметров.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Для автомагистралей, гаражей и автостоянок устанавливается расстояние от источника химического, биологического и/или физического воздействия, уменьшающее эти воздействия до значений гигиенических нормативов – санитарные разрывы.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(шума, вибрации, электромагнитных полей и др.) с последующим проведением натурных исследований и измерений.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Особые микроклиматические условия муниципального образования </w:t>
      </w:r>
      <w:r w:rsidR="00D24F67">
        <w:rPr>
          <w:rFonts w:ascii="Arial" w:hAnsi="Arial" w:cs="Arial"/>
          <w:color w:val="555555"/>
          <w:sz w:val="21"/>
          <w:szCs w:val="21"/>
          <w:shd w:val="clear" w:color="auto" w:fill="FFFFFF"/>
        </w:rPr>
        <w:t>Ариевский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сельсовет создают благоприятные условия для произрастания здесь большинства деревьев, кустарников. В качестве основных зелёных насаждений в МО выступают лесополосы, которые, к тому же выполняют экологические функции зелёной зоны.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Предлагаемая генпланом планировочная организация территории, функциональное зонирование, направленное на совершенствование системы расселения, территориальной структуры производства, социальной, транспортной и инженерной инфраструктуры, учитывает и необходимость формирования природно-экологического каркаса сельского поселения.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Природно-экологический каркас призван ввести и закрепить более жесткие режимы использования включенных в него территорий, обеспечить непрерывность природного пространства с помощью формирования экологических коридоров.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Возможности формирования полноценного природно-экологического каркаса МО </w:t>
      </w:r>
      <w:r w:rsidR="00D24F67">
        <w:rPr>
          <w:rFonts w:ascii="Arial" w:hAnsi="Arial" w:cs="Arial"/>
          <w:color w:val="555555"/>
          <w:sz w:val="21"/>
          <w:szCs w:val="21"/>
          <w:shd w:val="clear" w:color="auto" w:fill="FFFFFF"/>
        </w:rPr>
        <w:t>Ариевский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сельсовет определяются рядом нижеперечисленных факторов: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–        положением населенного пункта поселения;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–        преобладанием частного сектора и с присущим высоким удельным весом зеленых насаждений во внутренних ареалах кварталов;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–      наличием в новых кварталах свободных пространств – как внутри кварталов, на приусадебных участках, так и в ареалах детских и школьных учреждений.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Соотнесение природно-ландшафтного потенциала и основных экологических рисков муниципального образования определяют специфику задач формирования эколого-рекреационного каркаса, среди которых следует указать: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–        сохранение уникальных ареалов лесов с одновременным развитием в буферных открытых и полуоткрытых лесных ландшафтов ареалов отдыха населения;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–        озеленение вновь формируемых общественных зон;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–        формирование новых мест отдыха между кварталами;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–        развитие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примагистральных</w:t>
      </w:r>
      <w:proofErr w:type="spell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насаждений для минимизации воздействия автотранспортного потока на жилые кварталы;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–        реабилитация и озеленение территории промышленных и коммунально-складских зон;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–        улучшение условий естественного дренажа территории за счет сохранения полосных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lastRenderedPageBreak/>
        <w:t>насаждений вдоль естественных малых водотоков территории населенных пунктов;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–        сохранение уникальных исторических ландшафтов в МО.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  Комплекс мероприятий по охране окружающей среды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 Генеральным планом предусмотрены следующие основные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градоэкологические</w:t>
      </w:r>
      <w:proofErr w:type="spell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мероприятия: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1.Перспективное развитие селитебной и рекреационной зон муниципального образования планируется на наиболее благоприятных в экологическом отношении территориях.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2.Улучшение качества атмосферного воздуха в жилой зоне достигается за счет: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–        разработки проектов санитарно-защитных зон промышленных, коммунальных объектов и ферм КРС, озеленения санитарно-защитных зон;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–        создание зеленых защитных полос вдоль автомобильных дорог;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–        озеленение и благоустройство населенных пунктов.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3.Разработка комплекса мероприятий по охране водных ресурсов, включающего следующие аспекты: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–        строительство очистных сооружений;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–        введение полной биологической очистки сточных вод;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–        запрещение строительства по берегам рек, озер агропромышленных комплексов.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–        озеленение и благоустройства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водоохранных</w:t>
      </w:r>
      <w:proofErr w:type="spell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зон.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4.Обеспечение населения питьевой водой, соответствующей санитарно-гигиеническим нормативам за счет: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–        расширения водозаборов;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–        выявления и подготовки к эксплуатации новых и находящихся в резерве месторождений пресных подземных вод.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5. Снижение загрязнения почв предусмотрено за счет: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–        выявление всех несанкционированных свалок и их рекультивация.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–        обеспечение отдельного сбора и сдачи на переработку или захоронение токсичных отходов (1 и 2 классов опасности).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–        заключение договора на сдачу вторичного сырья для дальнейшей переработки.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–        восстановление почвенного плодородия, обеспечение прироста гумуса, проведение мелиоративных работ в поселении;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–        озеленение оврагов в целях укрепление грунтов и предотвращению их дальнейшего развития.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6. Планируется новое «зеленое строительство», которое позволит сформировать «экологический каркас» поселения и обеспечить нормативную потребность в зеленых насаждениях общего пользования.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7. Организация комплексной системы экологического мониторинга наблюдений за состоянием атмосферы, водных ресурсов, почвенного покрова, зеленых насаждений.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  Развитие инженерной инфраструктуры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Водоснабжение и водоотведение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Водоснабжение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Система и схема водоснабжения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В разделе «Водоснабжение и водоотведение» в составе Генерального плана разработаны мероприятия по развитию систем инженерного оборудования поселения, направленные на комплексное инженерное обеспечение жилых районов, модернизацию и реконструкцию устаревших инженерных коммуникаций и головных источников, внедрение политики ресурсосбережения.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Проектные решения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Потребление воды в жилом секторе всегда было высоким, существующая система водоснабжения, в силу объективных причин, не стимулирует потребителей питьевой воды к более рациональному ее использованию. Сегодня жители оплачивают фиксированный объем воды, независимо от фактически потребляемого.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При выполнении комплекса мероприятий, а именно: реконструкция водопроводных сетей, замена арматуры и санитарно-технического оборудования, установка водомеров и др., возможно снижение удельной нормы водопотребления на человека порядка 20-30%.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lastRenderedPageBreak/>
        <w:t>Учитывая, что в жилом секторе потребляется наибольшее количество воды, мероприятия по рациональному и экономному водопотреблению должны быть ориентированы в первую очередь на этот сектор, для чего необходимо определить и внедрить систему экономического стимулирования.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В настоящем проекте рассматривается развитие систем водоснабжения и водоотведения в зависимости от норм расхода воды, принимаемым в соответствии с нормами СНиП 2.04.02-84. В нормы водопотребления включены все расходы воды на хозяйственно-питьевые нужды в жилых и общественных зданиях.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Коэффициент суточной неравномерности водопотребления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Ксут</w:t>
      </w:r>
      <w:proofErr w:type="spell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, учитывающий уклад жизни населения, режим работы предприятий, степень благоустройства зданий, изменения водопотребления по сезонам года и дням недели, принимается равным: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Ксут.min</w:t>
      </w:r>
      <w:proofErr w:type="spell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=0,8;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Ксут.max</w:t>
      </w:r>
      <w:proofErr w:type="spell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=</w:t>
      </w:r>
      <w:proofErr w:type="gram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1,2.</w:t>
      </w:r>
      <w:r>
        <w:rPr>
          <w:rFonts w:ascii="Arial" w:hAnsi="Arial" w:cs="Arial"/>
          <w:color w:val="555555"/>
          <w:sz w:val="21"/>
          <w:szCs w:val="21"/>
        </w:rPr>
        <w:br/>
      </w:r>
      <w:r w:rsidRPr="006E41ED">
        <w:rPr>
          <w:rFonts w:ascii="Arial" w:hAnsi="Arial" w:cs="Arial"/>
          <w:color w:val="555555"/>
          <w:sz w:val="21"/>
          <w:szCs w:val="21"/>
          <w:shd w:val="clear" w:color="auto" w:fill="FFFFFF"/>
        </w:rPr>
        <w:t>Расходы</w:t>
      </w:r>
      <w:proofErr w:type="gramEnd"/>
      <w:r w:rsidRPr="006E41ED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воды для нужд наружного пожаротушения МО </w:t>
      </w:r>
      <w:r w:rsidR="00D24F67" w:rsidRPr="006E41ED">
        <w:rPr>
          <w:rFonts w:ascii="Arial" w:hAnsi="Arial" w:cs="Arial"/>
          <w:color w:val="555555"/>
          <w:sz w:val="21"/>
          <w:szCs w:val="21"/>
          <w:shd w:val="clear" w:color="auto" w:fill="FFFFFF"/>
        </w:rPr>
        <w:t>Ариевский</w:t>
      </w:r>
      <w:r w:rsidRPr="006E41ED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сельсовет принимаются в соответствии со СНиП 2.04.02-84. На расчетный срок принято: 1 пожар по 10 л/с. Расход воды на внутреннее пожаротушение 10 л/с. Трехчасовой пожарный запас составляет: (10+10) * 3,6 * 3 = 216 м3.</w:t>
      </w:r>
      <w:bookmarkStart w:id="0" w:name="_GoBack"/>
      <w:bookmarkEnd w:id="0"/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3.9.1.2 Зоны санитарной охраны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Для обеспечения санитарно-эпидемиологической надежности водопровода хозяйственно-питьевого назначения, предусматриваются зоны санитарной охраны источников питьевого водоснабжения, которые включают три пояса (СанПиН 2.1.4.1110-02):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I – пояс строгого режима включает территорию расположения водозаборов, в пределах которых запрещаются все виды строительства, не имеющие непосредственного отношения к водозабору.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II, III – пояса (режимов ограничений) включают территорию, предназначенную для предупреждения загрязнения воды источников водоснабжения. В пределах 2, 3 поясов ЗСО градостроительная деятельность допускается при условии обязательного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канализования</w:t>
      </w:r>
      <w:proofErr w:type="spell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зданий и сооружений, благоустройства территории, организации поверхностного стока.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Система и схема водоснабжения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Общий расход питьевой воды на расчетный срок составит 77 м3/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сут</w:t>
      </w:r>
      <w:proofErr w:type="spell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и будет обеспечиваться от существующих скважин.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Схема водоснабжения существующая корректируется, с развитием, реконструкцией и строительством сетей и сооружений водопровода.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Водоснабжение площадок нового строительства осуществляется прокладкой водопроводных сетей, с подключением к существующим сетям водопровода.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В системе водоснабжения МО </w:t>
      </w:r>
      <w:r w:rsidR="00D24F67">
        <w:rPr>
          <w:rFonts w:ascii="Arial" w:hAnsi="Arial" w:cs="Arial"/>
          <w:color w:val="555555"/>
          <w:sz w:val="21"/>
          <w:szCs w:val="21"/>
          <w:shd w:val="clear" w:color="auto" w:fill="FFFFFF"/>
        </w:rPr>
        <w:t>Ариевский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сельсовет должен быть выполнен комплекс мероприятий по реконструкции водопроводных сетей, замене арматуры и санитарно-технического оборудования, установка водомеров, внедрены мероприятия по рациональному и экономному водопотреблению.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Проведение такого комплекса мероприятий может дать снижение водопотребления на 20-30%.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  Водоотведение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Проектные решения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Расчетные расходы сточных вод, как и расходы воды, определены исходя из степени благоустройства жилой застройки и сохраняемого жилого фонда. При этом удельные нормы водоотведения принимаются равными нормам водопотребления. На основании СНиП 2.04.03-85, удельные нормы водоотведения от жилой и общественной застройки соответствуют принятым нормам водопотребления, приведенным в разделе «Водоснабжение» с учетом понижающего коэффициента в населенных пунктах (поселки и села) –0,</w:t>
      </w:r>
      <w:proofErr w:type="gram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6;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Неучтенные</w:t>
      </w:r>
      <w:proofErr w:type="gram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расходы стоков и прочие расходы приняты в размере 5% от расхода воды на нужды населения.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Проектные расходы хозяйственно-бытовых стоков на расчетный срок строительства представлены в нижеследующей таблице. Расходы стоков от промышленных предприятий приняты по данным о существующем водоотведении с ростом на 10% на расчетный срок.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Система и схема канализации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lastRenderedPageBreak/>
        <w:t>Система канализации принята полная раздельная, при которой хозяйственно-бытовая сеть не прокладывается для отведения стоков от жилой и общественной застройки, а устраивается канализационная яма в каждом дворе.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Производственные сточные воды, не отвечающие требованиям по совместному отведению и очистке с бытовыми стоками, должны подвергаться предварительной очистке.</w:t>
      </w:r>
    </w:p>
    <w:sectPr w:rsidR="006D0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EA7"/>
    <w:rsid w:val="00003EA7"/>
    <w:rsid w:val="006D0886"/>
    <w:rsid w:val="006E41ED"/>
    <w:rsid w:val="00D24F67"/>
    <w:rsid w:val="00F0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F9017-B254-4AA9-A683-864352F1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1646</Words>
  <Characters>9386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2023-05-18T12:04:00Z</dcterms:created>
  <dcterms:modified xsi:type="dcterms:W3CDTF">2023-05-19T07:10:00Z</dcterms:modified>
</cp:coreProperties>
</file>